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Forshaga kommunfullmäktige</w:t>
      </w:r>
    </w:p>
    <w:p>
      <w:pPr>
        <w:pStyle w:val="Heading1"/>
      </w:pPr>
      <w:r>
        <w:t xml:space="preserve">Stärkt SFI med arbetsmarknadsanknytning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Forshaga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Arbetsförmedlingens statistik visar att endast 38 % av SFI-elever i Forshaga går vidare till arbete eller studier inom ett år. Bättre koppling till lokala företag behövs.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Forshaga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uppdra åt barn- och utbildningsnämnden att införa praktikmoment i SFI från hösten 2026.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avsätta 450 000 kr för samverkan med näringslivet.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arbete efter ett år och redovisa för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prioritera SFI-utveckling i integrationsstrategin.</w:t>
      </w:r>
    </w:p>
    <w:p>
      <w:pPr>
        <w:spacing w:before="360"/>
      </w:pPr>
    </w:p>
    <w:p>
      <w:r>
        <w:t xml:space="preserve">Forshaga,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Forshaga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2026-07-13T23:56:54.214Z</dcterms:created>
  <dcterms:modified xsi:type="dcterms:W3CDTF">2026-07-13T23:56:54.214Z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